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D17" w:rsidRPr="006F347B" w:rsidRDefault="00583D5F" w:rsidP="006F347B">
      <w:pPr>
        <w:pStyle w:val="ConsPlusNormal"/>
        <w:widowControl/>
        <w:jc w:val="right"/>
        <w:outlineLvl w:val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</w:t>
      </w:r>
      <w:r w:rsidRPr="006F347B">
        <w:rPr>
          <w:rFonts w:ascii="Times New Roman" w:hAnsi="Times New Roman"/>
          <w:sz w:val="26"/>
        </w:rPr>
        <w:t>Приложение</w:t>
      </w:r>
      <w:r w:rsidR="00494056">
        <w:rPr>
          <w:rFonts w:ascii="Times New Roman" w:hAnsi="Times New Roman"/>
          <w:sz w:val="26"/>
        </w:rPr>
        <w:t xml:space="preserve"> 1</w:t>
      </w:r>
    </w:p>
    <w:p w:rsidR="00BB7AC3" w:rsidRDefault="00583D5F" w:rsidP="006F347B">
      <w:pPr>
        <w:pStyle w:val="ConsPlusNormal"/>
        <w:widowControl/>
        <w:jc w:val="right"/>
        <w:rPr>
          <w:rFonts w:ascii="Times New Roman" w:hAnsi="Times New Roman"/>
          <w:sz w:val="26"/>
        </w:rPr>
      </w:pPr>
      <w:r w:rsidRPr="006F347B">
        <w:rPr>
          <w:rFonts w:ascii="Times New Roman" w:hAnsi="Times New Roman"/>
          <w:sz w:val="26"/>
        </w:rPr>
        <w:t>к решению</w:t>
      </w:r>
      <w:r w:rsidR="00BB7AC3">
        <w:rPr>
          <w:rFonts w:ascii="Times New Roman" w:hAnsi="Times New Roman"/>
          <w:sz w:val="26"/>
        </w:rPr>
        <w:t xml:space="preserve"> </w:t>
      </w:r>
      <w:r w:rsidRPr="006F347B">
        <w:rPr>
          <w:rFonts w:ascii="Times New Roman" w:hAnsi="Times New Roman"/>
          <w:sz w:val="26"/>
        </w:rPr>
        <w:t>Совета</w:t>
      </w:r>
    </w:p>
    <w:p w:rsidR="00FF5D17" w:rsidRPr="006F347B" w:rsidRDefault="00583D5F" w:rsidP="00BB7AC3">
      <w:pPr>
        <w:pStyle w:val="ConsPlusNormal"/>
        <w:widowControl/>
        <w:jc w:val="right"/>
        <w:rPr>
          <w:rFonts w:ascii="Times New Roman" w:hAnsi="Times New Roman"/>
          <w:sz w:val="26"/>
        </w:rPr>
      </w:pPr>
      <w:r w:rsidRPr="006F347B">
        <w:rPr>
          <w:rFonts w:ascii="Times New Roman" w:hAnsi="Times New Roman"/>
          <w:sz w:val="26"/>
        </w:rPr>
        <w:t xml:space="preserve"> муниципального района</w:t>
      </w:r>
      <w:r w:rsidR="00BB7AC3">
        <w:rPr>
          <w:rFonts w:ascii="Times New Roman" w:hAnsi="Times New Roman"/>
          <w:sz w:val="26"/>
        </w:rPr>
        <w:t xml:space="preserve"> </w:t>
      </w:r>
      <w:r w:rsidR="00CE701B">
        <w:rPr>
          <w:rFonts w:ascii="Times New Roman" w:hAnsi="Times New Roman"/>
          <w:sz w:val="26"/>
        </w:rPr>
        <w:t>«</w:t>
      </w:r>
      <w:r w:rsidRPr="006F347B">
        <w:rPr>
          <w:rFonts w:ascii="Times New Roman" w:hAnsi="Times New Roman"/>
          <w:sz w:val="26"/>
        </w:rPr>
        <w:t>Печора</w:t>
      </w:r>
      <w:r w:rsidR="00CE701B">
        <w:rPr>
          <w:rFonts w:ascii="Times New Roman" w:hAnsi="Times New Roman"/>
          <w:sz w:val="26"/>
        </w:rPr>
        <w:t>»</w:t>
      </w:r>
    </w:p>
    <w:p w:rsidR="00FF5D17" w:rsidRPr="006F347B" w:rsidRDefault="00583D5F" w:rsidP="006F347B">
      <w:pPr>
        <w:pStyle w:val="ConsPlusNormal"/>
        <w:widowControl/>
        <w:jc w:val="right"/>
        <w:rPr>
          <w:sz w:val="26"/>
        </w:rPr>
      </w:pPr>
      <w:r w:rsidRPr="006F347B">
        <w:rPr>
          <w:rFonts w:ascii="Times New Roman" w:hAnsi="Times New Roman"/>
          <w:sz w:val="26"/>
        </w:rPr>
        <w:t xml:space="preserve">от </w:t>
      </w:r>
      <w:r w:rsidR="004674A6">
        <w:rPr>
          <w:rFonts w:ascii="Times New Roman" w:hAnsi="Times New Roman"/>
          <w:sz w:val="26"/>
        </w:rPr>
        <w:t>10 июня</w:t>
      </w:r>
      <w:r w:rsidR="00BB7AC3">
        <w:rPr>
          <w:rFonts w:ascii="Times New Roman" w:hAnsi="Times New Roman"/>
          <w:sz w:val="26"/>
        </w:rPr>
        <w:t xml:space="preserve"> 2026 года</w:t>
      </w:r>
      <w:r w:rsidRPr="006F347B">
        <w:rPr>
          <w:rFonts w:ascii="Times New Roman" w:hAnsi="Times New Roman"/>
          <w:sz w:val="26"/>
        </w:rPr>
        <w:t xml:space="preserve"> № </w:t>
      </w:r>
      <w:r w:rsidR="00BB7AC3">
        <w:rPr>
          <w:rFonts w:ascii="Times New Roman" w:hAnsi="Times New Roman"/>
          <w:sz w:val="26"/>
        </w:rPr>
        <w:t>8-</w:t>
      </w:r>
      <w:r w:rsidR="004674A6">
        <w:rPr>
          <w:rFonts w:ascii="Times New Roman" w:hAnsi="Times New Roman"/>
          <w:sz w:val="26"/>
        </w:rPr>
        <w:t>8</w:t>
      </w:r>
      <w:r w:rsidR="00BB7AC3">
        <w:rPr>
          <w:rFonts w:ascii="Times New Roman" w:hAnsi="Times New Roman"/>
          <w:sz w:val="26"/>
        </w:rPr>
        <w:t>/</w:t>
      </w:r>
      <w:r w:rsidR="004674A6">
        <w:rPr>
          <w:rFonts w:ascii="Times New Roman" w:hAnsi="Times New Roman"/>
          <w:sz w:val="26"/>
        </w:rPr>
        <w:t>7</w:t>
      </w:r>
      <w:r w:rsidR="00CE701B">
        <w:rPr>
          <w:rFonts w:ascii="Times New Roman" w:hAnsi="Times New Roman"/>
          <w:sz w:val="26"/>
        </w:rPr>
        <w:t>9</w:t>
      </w:r>
    </w:p>
    <w:p w:rsidR="00BB7AC3" w:rsidRPr="006F347B" w:rsidRDefault="00BB7AC3" w:rsidP="006F347B">
      <w:pPr>
        <w:pStyle w:val="a4"/>
        <w:jc w:val="center"/>
        <w:rPr>
          <w:rFonts w:ascii="Times New Roman" w:hAnsi="Times New Roman"/>
          <w:b/>
          <w:sz w:val="26"/>
        </w:rPr>
      </w:pPr>
    </w:p>
    <w:p w:rsidR="002445C1" w:rsidRPr="002445C1" w:rsidRDefault="00CE701B" w:rsidP="002445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>
        <w:rPr>
          <w:rFonts w:ascii="Times New Roman" w:eastAsia="Calibri" w:hAnsi="Times New Roman"/>
          <w:color w:val="auto"/>
          <w:sz w:val="26"/>
          <w:szCs w:val="26"/>
          <w:lang w:eastAsia="en-US"/>
        </w:rPr>
        <w:t>«</w:t>
      </w:r>
      <w:r w:rsidR="002445C1"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Приложение 1</w:t>
      </w:r>
    </w:p>
    <w:p w:rsidR="00CE701B" w:rsidRDefault="002445C1" w:rsidP="00CE701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bookmarkStart w:id="0" w:name="_Hlk222317314"/>
      <w:bookmarkStart w:id="1" w:name="_GoBack"/>
      <w:bookmarkEnd w:id="1"/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к решению Совета</w:t>
      </w:r>
    </w:p>
    <w:p w:rsidR="002445C1" w:rsidRPr="002445C1" w:rsidRDefault="002445C1" w:rsidP="002445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муниципального района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«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Печора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»</w:t>
      </w:r>
    </w:p>
    <w:p w:rsidR="002445C1" w:rsidRPr="002445C1" w:rsidRDefault="002445C1" w:rsidP="002445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                                                          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                         от 4 декабря 2019 года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№ 6-40/449</w:t>
      </w:r>
    </w:p>
    <w:bookmarkEnd w:id="0"/>
    <w:p w:rsidR="002445C1" w:rsidRDefault="002445C1" w:rsidP="002445C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</w:p>
    <w:p w:rsidR="00CE701B" w:rsidRPr="002445C1" w:rsidRDefault="00CE701B" w:rsidP="002445C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</w:p>
    <w:p w:rsidR="002445C1" w:rsidRPr="002445C1" w:rsidRDefault="002445C1" w:rsidP="002445C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/>
          <w:b/>
          <w:bCs/>
          <w:color w:val="auto"/>
          <w:sz w:val="26"/>
          <w:szCs w:val="26"/>
          <w:lang w:eastAsia="en-US"/>
        </w:rPr>
      </w:pPr>
      <w:r w:rsidRPr="002445C1">
        <w:rPr>
          <w:rFonts w:ascii="Times New Roman" w:eastAsia="Calibri" w:hAnsi="Times New Roman"/>
          <w:b/>
          <w:bCs/>
          <w:color w:val="auto"/>
          <w:sz w:val="26"/>
          <w:szCs w:val="26"/>
          <w:lang w:eastAsia="en-US"/>
        </w:rPr>
        <w:t>ПРАВИЛА</w:t>
      </w:r>
    </w:p>
    <w:p w:rsidR="00CE701B" w:rsidRDefault="002445C1" w:rsidP="002445C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/>
          <w:b/>
          <w:bCs/>
          <w:color w:val="auto"/>
          <w:sz w:val="26"/>
          <w:szCs w:val="26"/>
          <w:lang w:eastAsia="en-US"/>
        </w:rPr>
      </w:pPr>
      <w:r w:rsidRPr="002445C1">
        <w:rPr>
          <w:rFonts w:ascii="Times New Roman" w:eastAsia="Calibri" w:hAnsi="Times New Roman"/>
          <w:b/>
          <w:bCs/>
          <w:color w:val="auto"/>
          <w:sz w:val="26"/>
          <w:szCs w:val="26"/>
          <w:lang w:eastAsia="en-US"/>
        </w:rPr>
        <w:t>РАЗРАБОТКИ ПРОГНОЗНОГО ПЛАНА (ПРОГРАММЫ)</w:t>
      </w:r>
    </w:p>
    <w:p w:rsidR="002445C1" w:rsidRPr="002445C1" w:rsidRDefault="002445C1" w:rsidP="002445C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/>
          <w:b/>
          <w:bCs/>
          <w:color w:val="auto"/>
          <w:sz w:val="26"/>
          <w:szCs w:val="26"/>
          <w:lang w:eastAsia="en-US"/>
        </w:rPr>
      </w:pPr>
      <w:r w:rsidRPr="002445C1">
        <w:rPr>
          <w:rFonts w:ascii="Times New Roman" w:eastAsia="Calibri" w:hAnsi="Times New Roman"/>
          <w:b/>
          <w:bCs/>
          <w:color w:val="auto"/>
          <w:sz w:val="26"/>
          <w:szCs w:val="26"/>
          <w:lang w:eastAsia="en-US"/>
        </w:rPr>
        <w:t>ПРИВАТИЗАЦИИ</w:t>
      </w:r>
      <w:r w:rsidR="00CE701B">
        <w:rPr>
          <w:rFonts w:ascii="Times New Roman" w:eastAsia="Calibri" w:hAnsi="Times New Roman"/>
          <w:b/>
          <w:bCs/>
          <w:color w:val="auto"/>
          <w:sz w:val="26"/>
          <w:szCs w:val="26"/>
          <w:lang w:eastAsia="en-US"/>
        </w:rPr>
        <w:t xml:space="preserve"> </w:t>
      </w:r>
      <w:r w:rsidRPr="002445C1">
        <w:rPr>
          <w:rFonts w:ascii="Times New Roman" w:eastAsia="Calibri" w:hAnsi="Times New Roman"/>
          <w:b/>
          <w:bCs/>
          <w:color w:val="auto"/>
          <w:sz w:val="26"/>
          <w:szCs w:val="26"/>
          <w:lang w:eastAsia="en-US"/>
        </w:rPr>
        <w:t>ИМУЩЕСТВА, НАХОДЯЩЕГОСЯ В СОБСТВЕННОСТИ МУНИЦИПАЛЬНОГО</w:t>
      </w:r>
      <w:r w:rsidR="00CE701B">
        <w:rPr>
          <w:rFonts w:ascii="Times New Roman" w:eastAsia="Calibri" w:hAnsi="Times New Roman"/>
          <w:b/>
          <w:bCs/>
          <w:color w:val="auto"/>
          <w:sz w:val="26"/>
          <w:szCs w:val="26"/>
          <w:lang w:eastAsia="en-US"/>
        </w:rPr>
        <w:t xml:space="preserve"> </w:t>
      </w:r>
      <w:r w:rsidRPr="002445C1">
        <w:rPr>
          <w:rFonts w:ascii="Times New Roman" w:eastAsia="Calibri" w:hAnsi="Times New Roman"/>
          <w:b/>
          <w:bCs/>
          <w:color w:val="auto"/>
          <w:sz w:val="26"/>
          <w:szCs w:val="26"/>
          <w:lang w:eastAsia="en-US"/>
        </w:rPr>
        <w:t xml:space="preserve">ОБРАЗОВАНИЯ МУНИЦИПАЛЬНОГО РАЙОНА </w:t>
      </w:r>
      <w:r w:rsidR="00CE701B">
        <w:rPr>
          <w:rFonts w:ascii="Times New Roman" w:eastAsia="Calibri" w:hAnsi="Times New Roman"/>
          <w:b/>
          <w:bCs/>
          <w:color w:val="auto"/>
          <w:sz w:val="26"/>
          <w:szCs w:val="26"/>
          <w:lang w:eastAsia="en-US"/>
        </w:rPr>
        <w:t>«</w:t>
      </w:r>
      <w:r w:rsidRPr="002445C1">
        <w:rPr>
          <w:rFonts w:ascii="Times New Roman" w:eastAsia="Calibri" w:hAnsi="Times New Roman"/>
          <w:b/>
          <w:bCs/>
          <w:color w:val="auto"/>
          <w:sz w:val="26"/>
          <w:szCs w:val="26"/>
          <w:lang w:eastAsia="en-US"/>
        </w:rPr>
        <w:t>ПЕЧОРА</w:t>
      </w:r>
      <w:r w:rsidR="00CE701B">
        <w:rPr>
          <w:rFonts w:ascii="Times New Roman" w:eastAsia="Calibri" w:hAnsi="Times New Roman"/>
          <w:b/>
          <w:bCs/>
          <w:color w:val="auto"/>
          <w:sz w:val="26"/>
          <w:szCs w:val="26"/>
          <w:lang w:eastAsia="en-US"/>
        </w:rPr>
        <w:t>»</w:t>
      </w:r>
    </w:p>
    <w:p w:rsidR="002445C1" w:rsidRPr="002445C1" w:rsidRDefault="002445C1" w:rsidP="00CE701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</w:p>
    <w:p w:rsidR="002445C1" w:rsidRPr="002445C1" w:rsidRDefault="002445C1" w:rsidP="00CE701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1. </w:t>
      </w:r>
      <w:proofErr w:type="gramStart"/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Настоящие Правила разработаны в соответствии со </w:t>
      </w:r>
      <w:hyperlink r:id="rId7" w:history="1">
        <w:r w:rsidRPr="00CE701B">
          <w:rPr>
            <w:rFonts w:ascii="Times New Roman" w:eastAsia="Calibri" w:hAnsi="Times New Roman"/>
            <w:color w:val="auto"/>
            <w:sz w:val="26"/>
            <w:szCs w:val="26"/>
            <w:lang w:eastAsia="en-US"/>
          </w:rPr>
          <w:t>статьей 8</w:t>
        </w:r>
      </w:hyperlink>
      <w:r w:rsidRP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Федерального закона от 21 декабря 2001 г. 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№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178-ФЗ 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«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О приватизации государственного и муниципального имущества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»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, </w:t>
      </w:r>
      <w:hyperlink r:id="rId8" w:history="1">
        <w:r w:rsidRPr="002445C1">
          <w:rPr>
            <w:rFonts w:ascii="Times New Roman" w:eastAsia="Calibri" w:hAnsi="Times New Roman"/>
            <w:color w:val="auto"/>
            <w:sz w:val="26"/>
            <w:szCs w:val="26"/>
            <w:lang w:eastAsia="en-US"/>
          </w:rPr>
          <w:t>Постановления</w:t>
        </w:r>
      </w:hyperlink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Правительства Российской Федерации от 26 декабря 2005 года 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№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806 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«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Правила разработки прогнозного плана (программы) приватизации государственного и муниципального имущества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»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и определяют структуру, содержание, порядок, требования и сроки разработки прогнозных планов (программ) приватизации муниципального имущества (далее - Прогнозный план</w:t>
      </w:r>
      <w:proofErr w:type="gramEnd"/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).</w:t>
      </w:r>
    </w:p>
    <w:p w:rsidR="002445C1" w:rsidRPr="002445C1" w:rsidRDefault="002445C1" w:rsidP="00CE701B">
      <w:pPr>
        <w:tabs>
          <w:tab w:val="left" w:pos="993"/>
        </w:tabs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2. </w:t>
      </w:r>
      <w:proofErr w:type="gramStart"/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Разработка Прогнозного плана на очередной финансовый год осуществляется комитетом по управлению муниципальной собственностью муниципального района 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«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Печора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»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(далее - Комитет) в соответствии с принятыми программами социально-экономического развития муниципального образования и задачами приватизации, определенными при подведении итогов приватизации муниципального имущества за предыдущий год.</w:t>
      </w:r>
      <w:proofErr w:type="gramEnd"/>
    </w:p>
    <w:p w:rsidR="002445C1" w:rsidRPr="002445C1" w:rsidRDefault="002445C1" w:rsidP="00CE701B">
      <w:pPr>
        <w:tabs>
          <w:tab w:val="left" w:pos="993"/>
        </w:tabs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3. В случае если решение в отчетном финансовом году принято, но приватизация муниципального имущества не завершена, муниципальное имущество, не приватизированное в соответствии с Прогнозным планом на отчетный финансовый год, подлежит включению в Прогнозный план на очередной финансовый год, без исключения из Прогнозного плана на отчетный финансовый год.</w:t>
      </w:r>
    </w:p>
    <w:p w:rsidR="002445C1" w:rsidRPr="002445C1" w:rsidRDefault="002445C1" w:rsidP="00CE701B">
      <w:pPr>
        <w:tabs>
          <w:tab w:val="left" w:pos="993"/>
        </w:tabs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4. </w:t>
      </w:r>
      <w:proofErr w:type="gramStart"/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Отношения, возникающие в связи с отчуждением из муниципальной собственности недвижимого имущества, арендуемого субъектами малого и среднего предпринимательства, регулируются Федеральным </w:t>
      </w:r>
      <w:hyperlink r:id="rId9" w:history="1">
        <w:r w:rsidRPr="00CE701B">
          <w:rPr>
            <w:rFonts w:ascii="Times New Roman" w:eastAsia="Calibri" w:hAnsi="Times New Roman"/>
            <w:color w:val="auto"/>
            <w:sz w:val="26"/>
            <w:szCs w:val="26"/>
            <w:lang w:eastAsia="en-US"/>
          </w:rPr>
          <w:t>законом</w:t>
        </w:r>
      </w:hyperlink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от 22.07.2008 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№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159-ФЗ 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«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»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.</w:t>
      </w:r>
      <w:proofErr w:type="gramEnd"/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При этом внесение объектов, отчуждаемых в 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lastRenderedPageBreak/>
        <w:t xml:space="preserve">соответствии с Федеральным </w:t>
      </w:r>
      <w:hyperlink r:id="rId10" w:history="1">
        <w:r w:rsidRPr="007C28D8">
          <w:rPr>
            <w:rFonts w:ascii="Times New Roman" w:eastAsia="Calibri" w:hAnsi="Times New Roman"/>
            <w:color w:val="auto"/>
            <w:sz w:val="26"/>
            <w:szCs w:val="26"/>
            <w:lang w:eastAsia="en-US"/>
          </w:rPr>
          <w:t>законом</w:t>
        </w:r>
      </w:hyperlink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от 22.07.2008 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№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159-ФЗ по инициативе арендатора муниципального имущества, в Прогнозный план не требуется.</w:t>
      </w:r>
    </w:p>
    <w:p w:rsidR="002445C1" w:rsidRPr="002445C1" w:rsidRDefault="002445C1" w:rsidP="00CE701B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5. Прогнозный план ежегодно утверждается решением Совета муниципального района 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«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Печора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»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на очередной финансовый год.</w:t>
      </w:r>
    </w:p>
    <w:p w:rsidR="002445C1" w:rsidRPr="002445C1" w:rsidRDefault="002445C1" w:rsidP="00CE701B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6. Предложения о включении в Прогнозный план муниципального имущества вправе направлять в Комитет отраслевые (функциональные) органы администрации муниципального района 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«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Печора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»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, муниципальные предприятия, муниципальные учреждения, юридические и физические лица.</w:t>
      </w:r>
    </w:p>
    <w:p w:rsidR="002445C1" w:rsidRPr="002445C1" w:rsidRDefault="002445C1" w:rsidP="00CE701B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7. Комитет ежегодно, не позднее 30 сентября, разрабатывает на основе поступивших до 1 сентября текущего года и рассмотренных предложений о приватизации муниципального имущества проект Прогнозного плана на очередной финансовый год с учетом итогов приватизации муниципального имущества за текущий год, с обоснованием целесообразности приватизации.</w:t>
      </w:r>
    </w:p>
    <w:p w:rsidR="002445C1" w:rsidRPr="002445C1" w:rsidRDefault="002445C1" w:rsidP="00CE701B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8. Прогнозный план состоит из двух разделов:</w:t>
      </w:r>
    </w:p>
    <w:p w:rsidR="002445C1" w:rsidRPr="002445C1" w:rsidRDefault="002445C1" w:rsidP="00CE701B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proofErr w:type="gramStart"/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Первый раздел прогнозного плана содержит направления муниципальной политики в сфере приватизации, задачи приватизации муниципального имущества в очередном году, прогноз объемов поступлений в местный бюджет в результате исполнения программы приватизации, рассчитанный в соответствии с общими требованиями к методике прогнозирования поступлений доходов в бюджеты бюджетной системы Российской Федерации и общими требованиями к методике прогнозирования поступлений по источникам финансирования дефицита бюджета, установленными Правительством</w:t>
      </w:r>
      <w:proofErr w:type="gramEnd"/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Российской Федерации.</w:t>
      </w:r>
    </w:p>
    <w:p w:rsidR="002445C1" w:rsidRPr="002445C1" w:rsidRDefault="002445C1" w:rsidP="00CE701B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proofErr w:type="gramStart"/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Второй раздел Прогнозного плана содержит перечни сгруппированного по видам экономической деятельности муниципального имущества, приватизация которого планируется в плановом периоде (унитарных предприятий, акций акционерных обществ и долей в уставных капиталах обществ с ограниченной ответственностью, находящихся в муниципальной собственности, иного имущества, </w:t>
      </w:r>
      <w:bookmarkStart w:id="2" w:name="_Hlk222128992"/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составляющего казну муниципального образования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,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</w:t>
      </w:r>
      <w:bookmarkEnd w:id="2"/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а также иного движимого имущества, находящегося в собственности </w:t>
      </w:r>
      <w:bookmarkStart w:id="3" w:name="_Hlk222129892"/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муниципального образования муниципального района 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«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Печора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»</w:t>
      </w:r>
      <w:bookmarkEnd w:id="3"/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), с указанием характеристики соответствующего</w:t>
      </w:r>
      <w:proofErr w:type="gramEnd"/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имущества;</w:t>
      </w:r>
    </w:p>
    <w:p w:rsidR="002445C1" w:rsidRPr="002445C1" w:rsidRDefault="002445C1" w:rsidP="00CE701B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сведения об акционерных обществах и обществах с ограниченной ответственностью, акции, </w:t>
      </w:r>
      <w:proofErr w:type="gramStart"/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доли</w:t>
      </w:r>
      <w:proofErr w:type="gramEnd"/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в уставных капиталах которых в соответствии с решениями органов местного самоуправления подлежат внесению в уставный капитал иных акционерных обществ;</w:t>
      </w:r>
    </w:p>
    <w:p w:rsidR="002445C1" w:rsidRPr="002445C1" w:rsidRDefault="002445C1" w:rsidP="00CE701B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сведения об ином имуществе, составляющем казну муниципального образования муниципального района 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«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Печора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»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, которое подлежит внесению в уставный капитал акционерных обществ.</w:t>
      </w:r>
    </w:p>
    <w:p w:rsidR="002445C1" w:rsidRPr="002445C1" w:rsidRDefault="002445C1" w:rsidP="00CE701B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9. При включении муниципального имущества в соответствующий перечень указываются:</w:t>
      </w:r>
    </w:p>
    <w:p w:rsidR="002445C1" w:rsidRPr="002445C1" w:rsidRDefault="002445C1" w:rsidP="00CE701B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а) для муниципальных унитарных предприятий - наименование и место нахождения;</w:t>
      </w:r>
    </w:p>
    <w:p w:rsidR="002445C1" w:rsidRPr="002445C1" w:rsidRDefault="002445C1" w:rsidP="00CE701B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lastRenderedPageBreak/>
        <w:t>б) для акций акционерных обществ, находящихся в муниципальной собственности:</w:t>
      </w:r>
    </w:p>
    <w:p w:rsidR="002445C1" w:rsidRPr="002445C1" w:rsidRDefault="002445C1" w:rsidP="00CE701B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наименование и место нахождения акционерного общества;</w:t>
      </w:r>
    </w:p>
    <w:p w:rsidR="002445C1" w:rsidRPr="002445C1" w:rsidRDefault="002445C1" w:rsidP="00CE701B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доля принадлежащих муниципальному образованию акций в общем количестве акций акционерного общества либо, если доля акций менее 0,01 процента, - количество акций;</w:t>
      </w:r>
    </w:p>
    <w:p w:rsidR="002445C1" w:rsidRPr="002445C1" w:rsidRDefault="002445C1" w:rsidP="00CE701B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доля и количество акций, подлежащих приватизации;</w:t>
      </w:r>
    </w:p>
    <w:p w:rsidR="002445C1" w:rsidRPr="002445C1" w:rsidRDefault="002445C1" w:rsidP="00CE701B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в) для долей в уставных капиталах обществ с ограниченной ответственностью, находящихся в муниципальной собственности:</w:t>
      </w:r>
    </w:p>
    <w:p w:rsidR="002445C1" w:rsidRPr="002445C1" w:rsidRDefault="002445C1" w:rsidP="00CE701B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наименование и место нахождения общества с ограниченной ответственностью;</w:t>
      </w:r>
    </w:p>
    <w:p w:rsidR="002445C1" w:rsidRPr="002445C1" w:rsidRDefault="002445C1" w:rsidP="00CE701B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доля в уставном капитале общества с ограниченной ответственностью, принадлежащая муниципальному образованию и подлежащая приватизации;</w:t>
      </w:r>
    </w:p>
    <w:p w:rsidR="002445C1" w:rsidRPr="002445C1" w:rsidRDefault="002445C1" w:rsidP="00CE701B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г) для иного недвижимого имущества - наименование, местонахождение, кадастровый номер и назначение имущества. </w:t>
      </w:r>
      <w:proofErr w:type="gramStart"/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В случае если объект иного имущества является объектом культурного наследия, включенным в единый государственный реестр объектов культурного наследия (памятников истории и культуры) народов Российской Федерации, либо объектом речного порта, дополнительно указывается информация об отнесении его к объектам культурного наследия в соответствии с Федеральным </w:t>
      </w:r>
      <w:hyperlink r:id="rId11" w:history="1">
        <w:r w:rsidRPr="002445C1">
          <w:rPr>
            <w:rFonts w:ascii="Times New Roman" w:eastAsia="Calibri" w:hAnsi="Times New Roman"/>
            <w:color w:val="auto"/>
            <w:sz w:val="26"/>
            <w:szCs w:val="26"/>
            <w:lang w:eastAsia="en-US"/>
          </w:rPr>
          <w:t>законом</w:t>
        </w:r>
      </w:hyperlink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«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Об объектах культурного наследия (памятниках истории и культуры) народов Российской Федерации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»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либо объектам речного порта.</w:t>
      </w:r>
      <w:proofErr w:type="gramEnd"/>
    </w:p>
    <w:p w:rsidR="002445C1" w:rsidRPr="002445C1" w:rsidRDefault="002445C1" w:rsidP="00CE701B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д) сведения о движимом имуществе отражаются в перечне строкой 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«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Иное движимое имущество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»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с указанием в графе 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«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Предполагаемые сроки приватизации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»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ссылки 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«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по мере поступления документов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»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без указания конкретных характеристик имущества.</w:t>
      </w:r>
    </w:p>
    <w:p w:rsidR="002445C1" w:rsidRPr="002445C1" w:rsidRDefault="002445C1" w:rsidP="00CE701B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10. Подготовленный Комитетом проект прогнозного плана (программы) на очередной финансовый год в срок до 5 октября направляется на рассмотрение структурным подразделениям администрации муниципального района 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«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Печора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»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, главе муниципального района 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«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Печора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»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- руководителю администрации.</w:t>
      </w:r>
    </w:p>
    <w:p w:rsidR="002445C1" w:rsidRPr="002445C1" w:rsidRDefault="002445C1" w:rsidP="00CE701B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11. Согласованный проект Прогнозного плана выносится на публичные слушания.</w:t>
      </w:r>
    </w:p>
    <w:p w:rsidR="002445C1" w:rsidRPr="002445C1" w:rsidRDefault="002445C1" w:rsidP="00CE701B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12. После проведения публичных слушаний до вынесения проекта бюджета муниципального образования муниципального района 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«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Печора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»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на рассмотрение Совета муниципального района 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«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Печора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»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Комитет в срок до 15 ноября представляет проект прогнозного плана (программы) на рассмотрение Совета муниципального района 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«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Печора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»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для утверждения. Окончательное решение об утверждении плана принимает Совет района не позднее десяти рабочих дней до начала планового периода.</w:t>
      </w:r>
    </w:p>
    <w:p w:rsidR="002445C1" w:rsidRPr="002445C1" w:rsidRDefault="002445C1" w:rsidP="00CE701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lastRenderedPageBreak/>
        <w:t xml:space="preserve">13. </w:t>
      </w:r>
      <w:proofErr w:type="gramStart"/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Решение Совета муниципального района 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«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Печора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»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об утверждении Прогнозного плана на очередной финансовый год, изменения в него, в течение пятнадцати дней со дня их утверждения, подлежат размещению на официальном сайте Российской Федерации в сети 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«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Интернет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»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для размещения информации о проведении торгов </w:t>
      </w:r>
      <w:hyperlink r:id="rId12" w:history="1">
        <w:r w:rsidRPr="002445C1">
          <w:rPr>
            <w:rFonts w:ascii="Times New Roman" w:eastAsia="Calibri" w:hAnsi="Times New Roman"/>
            <w:color w:val="auto"/>
            <w:sz w:val="26"/>
            <w:szCs w:val="26"/>
            <w:lang w:eastAsia="en-US"/>
          </w:rPr>
          <w:t>www.torgi.gov.ru</w:t>
        </w:r>
      </w:hyperlink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, сайте администрации МР 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«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Печора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»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в сети 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«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Интернет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»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</w:t>
      </w:r>
      <w:hyperlink r:id="rId13" w:history="1">
        <w:r w:rsidR="00CE701B" w:rsidRPr="007C28D8">
          <w:rPr>
            <w:rStyle w:val="ad"/>
            <w:rFonts w:ascii="Times New Roman" w:eastAsia="Calibri" w:hAnsi="Times New Roman"/>
            <w:color w:val="auto"/>
            <w:sz w:val="26"/>
            <w:szCs w:val="26"/>
            <w:lang w:eastAsia="en-US"/>
          </w:rPr>
          <w:t>www.pechorao</w:t>
        </w:r>
        <w:proofErr w:type="spellStart"/>
        <w:r w:rsidR="00CE701B" w:rsidRPr="007C28D8">
          <w:rPr>
            <w:rStyle w:val="ad"/>
            <w:rFonts w:ascii="Times New Roman" w:eastAsia="Calibri" w:hAnsi="Times New Roman"/>
            <w:color w:val="auto"/>
            <w:sz w:val="26"/>
            <w:szCs w:val="26"/>
            <w:lang w:val="en-US" w:eastAsia="en-US"/>
          </w:rPr>
          <w:t>nline</w:t>
        </w:r>
        <w:proofErr w:type="spellEnd"/>
        <w:r w:rsidR="00CE701B" w:rsidRPr="007C28D8">
          <w:rPr>
            <w:rStyle w:val="ad"/>
            <w:rFonts w:ascii="Times New Roman" w:eastAsia="Calibri" w:hAnsi="Times New Roman"/>
            <w:color w:val="auto"/>
            <w:sz w:val="26"/>
            <w:szCs w:val="26"/>
            <w:lang w:eastAsia="en-US"/>
          </w:rPr>
          <w:t>.</w:t>
        </w:r>
        <w:proofErr w:type="spellStart"/>
        <w:r w:rsidR="00CE701B" w:rsidRPr="007C28D8">
          <w:rPr>
            <w:rStyle w:val="ad"/>
            <w:rFonts w:ascii="Times New Roman" w:eastAsia="Calibri" w:hAnsi="Times New Roman"/>
            <w:color w:val="auto"/>
            <w:sz w:val="26"/>
            <w:szCs w:val="26"/>
            <w:lang w:eastAsia="en-US"/>
          </w:rPr>
          <w:t>ru</w:t>
        </w:r>
        <w:proofErr w:type="spellEnd"/>
      </w:hyperlink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и опубликованию в порядке, установленном для</w:t>
      </w:r>
      <w:proofErr w:type="gramEnd"/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официального опубликования (обнародования) муниципальных правовых актов </w:t>
      </w:r>
      <w:hyperlink r:id="rId14" w:history="1">
        <w:r w:rsidRPr="002445C1">
          <w:rPr>
            <w:rFonts w:ascii="Times New Roman" w:eastAsia="Calibri" w:hAnsi="Times New Roman"/>
            <w:color w:val="auto"/>
            <w:sz w:val="26"/>
            <w:szCs w:val="26"/>
            <w:lang w:eastAsia="en-US"/>
          </w:rPr>
          <w:t>Уставом</w:t>
        </w:r>
      </w:hyperlink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муниципального образования муниципального района 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«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Печора</w:t>
      </w:r>
      <w:r w:rsidR="00CE701B">
        <w:rPr>
          <w:rFonts w:ascii="Times New Roman" w:eastAsia="Calibri" w:hAnsi="Times New Roman"/>
          <w:color w:val="auto"/>
          <w:sz w:val="26"/>
          <w:szCs w:val="26"/>
          <w:lang w:eastAsia="en-US"/>
        </w:rPr>
        <w:t>»</w:t>
      </w:r>
      <w:r w:rsidRPr="002445C1">
        <w:rPr>
          <w:rFonts w:ascii="Times New Roman" w:eastAsia="Calibri" w:hAnsi="Times New Roman"/>
          <w:color w:val="auto"/>
          <w:sz w:val="26"/>
          <w:szCs w:val="26"/>
          <w:lang w:eastAsia="en-US"/>
        </w:rPr>
        <w:t>.</w:t>
      </w:r>
    </w:p>
    <w:p w:rsidR="002445C1" w:rsidRPr="002445C1" w:rsidRDefault="002445C1" w:rsidP="002445C1">
      <w:pPr>
        <w:rPr>
          <w:rFonts w:ascii="Calibri" w:eastAsia="Calibri" w:hAnsi="Calibri"/>
          <w:color w:val="auto"/>
          <w:szCs w:val="22"/>
          <w:lang w:eastAsia="en-US"/>
        </w:rPr>
      </w:pPr>
    </w:p>
    <w:p w:rsidR="00FF5D17" w:rsidRDefault="00CE701B" w:rsidP="002445C1">
      <w:pPr>
        <w:spacing w:after="0" w:line="240" w:lineRule="auto"/>
        <w:ind w:firstLine="567"/>
        <w:jc w:val="center"/>
        <w:rPr>
          <w:rFonts w:ascii="Times New Roman" w:hAnsi="Times New Roman"/>
          <w:i/>
          <w:sz w:val="26"/>
          <w:lang w:val="en-US"/>
        </w:rPr>
      </w:pPr>
      <w:r>
        <w:rPr>
          <w:rFonts w:ascii="Times New Roman" w:hAnsi="Times New Roman"/>
          <w:i/>
          <w:sz w:val="26"/>
          <w:lang w:val="en-US"/>
        </w:rPr>
        <w:t>___________________________________________</w:t>
      </w:r>
    </w:p>
    <w:p w:rsidR="00CE701B" w:rsidRPr="00CE701B" w:rsidRDefault="00CE701B" w:rsidP="00CE701B">
      <w:pPr>
        <w:spacing w:after="0" w:line="240" w:lineRule="auto"/>
        <w:ind w:firstLine="567"/>
        <w:jc w:val="right"/>
        <w:rPr>
          <w:rFonts w:ascii="Times New Roman" w:hAnsi="Times New Roman"/>
          <w:sz w:val="26"/>
        </w:rPr>
      </w:pPr>
      <w:r w:rsidRPr="00CE701B">
        <w:rPr>
          <w:rFonts w:ascii="Times New Roman" w:hAnsi="Times New Roman"/>
          <w:sz w:val="26"/>
        </w:rPr>
        <w:t>»</w:t>
      </w:r>
      <w:r>
        <w:rPr>
          <w:rFonts w:ascii="Times New Roman" w:hAnsi="Times New Roman"/>
          <w:sz w:val="26"/>
        </w:rPr>
        <w:t>.</w:t>
      </w:r>
    </w:p>
    <w:sectPr w:rsidR="00CE701B" w:rsidRPr="00CE701B" w:rsidSect="00BB7AC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/>
      <w:pgMar w:top="1134" w:right="850" w:bottom="1134" w:left="1701" w:header="567" w:footer="567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01B" w:rsidRDefault="00CE701B">
      <w:pPr>
        <w:spacing w:after="0" w:line="240" w:lineRule="auto"/>
      </w:pPr>
      <w:r>
        <w:separator/>
      </w:r>
    </w:p>
  </w:endnote>
  <w:endnote w:type="continuationSeparator" w:id="0">
    <w:p w:rsidR="00CE701B" w:rsidRDefault="00CE7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01B" w:rsidRDefault="00CE701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01B" w:rsidRDefault="00CE701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01B" w:rsidRDefault="00CE701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01B" w:rsidRDefault="00CE701B">
      <w:pPr>
        <w:spacing w:after="0" w:line="240" w:lineRule="auto"/>
      </w:pPr>
      <w:r>
        <w:separator/>
      </w:r>
    </w:p>
  </w:footnote>
  <w:footnote w:type="continuationSeparator" w:id="0">
    <w:p w:rsidR="00CE701B" w:rsidRDefault="00CE70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01B" w:rsidRDefault="00CE701B">
    <w:pPr>
      <w:pStyle w:val="aa"/>
      <w:framePr w:h="0" w:wrap="around" w:vAnchor="text" w:hAnchor="margin" w:xAlign="center" w:y="1"/>
      <w:pBdr>
        <w:top w:val="nil"/>
        <w:left w:val="nil"/>
        <w:bottom w:val="nil"/>
        <w:right w:val="nil"/>
        <w:between w:val="nil"/>
      </w:pBdr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</w:instrText>
    </w:r>
    <w:r>
      <w:rPr>
        <w:rStyle w:val="ac"/>
      </w:rPr>
      <w:fldChar w:fldCharType="separate"/>
    </w:r>
    <w:r>
      <w:rPr>
        <w:rStyle w:val="ac"/>
      </w:rPr>
      <w:t xml:space="preserve"> </w:t>
    </w:r>
    <w:r>
      <w:rPr>
        <w:rStyle w:val="ac"/>
      </w:rPr>
      <w:fldChar w:fldCharType="end"/>
    </w:r>
  </w:p>
  <w:p w:rsidR="00CE701B" w:rsidRDefault="00CE701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01B" w:rsidRDefault="00CE701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01B" w:rsidRDefault="00CE701B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5D17"/>
    <w:rsid w:val="000B588A"/>
    <w:rsid w:val="00174E3A"/>
    <w:rsid w:val="001B421F"/>
    <w:rsid w:val="001C04FE"/>
    <w:rsid w:val="002445C1"/>
    <w:rsid w:val="00333884"/>
    <w:rsid w:val="003E46BC"/>
    <w:rsid w:val="004674A6"/>
    <w:rsid w:val="00494056"/>
    <w:rsid w:val="005177BE"/>
    <w:rsid w:val="00583D5F"/>
    <w:rsid w:val="005A1E95"/>
    <w:rsid w:val="006F347B"/>
    <w:rsid w:val="007A5EFE"/>
    <w:rsid w:val="007C28D8"/>
    <w:rsid w:val="007E6069"/>
    <w:rsid w:val="008C0B49"/>
    <w:rsid w:val="008F09AE"/>
    <w:rsid w:val="00A27A72"/>
    <w:rsid w:val="00AA3B58"/>
    <w:rsid w:val="00B11D95"/>
    <w:rsid w:val="00BB7AC3"/>
    <w:rsid w:val="00CE701B"/>
    <w:rsid w:val="00D31621"/>
    <w:rsid w:val="00D474FC"/>
    <w:rsid w:val="00EE55AE"/>
    <w:rsid w:val="00FF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Строгий1"/>
    <w:basedOn w:val="13"/>
    <w:link w:val="a3"/>
    <w:rPr>
      <w:b/>
    </w:rPr>
  </w:style>
  <w:style w:type="character" w:styleId="a3">
    <w:name w:val="Strong"/>
    <w:basedOn w:val="a0"/>
    <w:link w:val="12"/>
    <w:rPr>
      <w:b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styleId="a4">
    <w:name w:val="No Spacing"/>
    <w:link w:val="a5"/>
    <w:pPr>
      <w:spacing w:after="0" w:line="240" w:lineRule="auto"/>
    </w:pPr>
  </w:style>
  <w:style w:type="character" w:customStyle="1" w:styleId="a5">
    <w:name w:val="Без интервала Знак"/>
    <w:link w:val="a4"/>
  </w:style>
  <w:style w:type="paragraph" w:styleId="a6">
    <w:name w:val="Balloon Text"/>
    <w:basedOn w:val="a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a8">
    <w:name w:val="foot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1"/>
    <w:link w:val="a8"/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</w:style>
  <w:style w:type="paragraph" w:customStyle="1" w:styleId="14">
    <w:name w:val="Номер страницы1"/>
    <w:basedOn w:val="13"/>
    <w:link w:val="ac"/>
  </w:style>
  <w:style w:type="character" w:styleId="ac">
    <w:name w:val="page number"/>
    <w:basedOn w:val="a0"/>
    <w:link w:val="14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5">
    <w:name w:val="Гиперссылка1"/>
    <w:basedOn w:val="13"/>
    <w:link w:val="ad"/>
    <w:rPr>
      <w:color w:val="0000FF"/>
      <w:u w:val="single"/>
    </w:rPr>
  </w:style>
  <w:style w:type="character" w:styleId="ad">
    <w:name w:val="Hyperlink"/>
    <w:basedOn w:val="a0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e">
    <w:name w:val="List Paragraph"/>
    <w:basedOn w:val="a"/>
    <w:link w:val="af"/>
    <w:pPr>
      <w:ind w:left="720"/>
      <w:contextualSpacing/>
    </w:pPr>
  </w:style>
  <w:style w:type="character" w:customStyle="1" w:styleId="af">
    <w:name w:val="Абзац списка Знак"/>
    <w:basedOn w:val="1"/>
    <w:link w:val="ae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8">
    <w:name w:val="Выделение1"/>
    <w:basedOn w:val="13"/>
    <w:link w:val="af0"/>
    <w:rPr>
      <w:i/>
    </w:rPr>
  </w:style>
  <w:style w:type="character" w:styleId="af0">
    <w:name w:val="Emphasis"/>
    <w:basedOn w:val="a0"/>
    <w:link w:val="18"/>
    <w:rPr>
      <w:i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sz w:val="24"/>
    </w:rPr>
  </w:style>
  <w:style w:type="paragraph" w:styleId="af3">
    <w:name w:val="Title"/>
    <w:next w:val="a"/>
    <w:link w:val="a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4">
    <w:name w:val="Название Знак"/>
    <w:link w:val="af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mininbsp">
    <w:name w:val="mininbsp"/>
    <w:basedOn w:val="13"/>
    <w:link w:val="mininbsp0"/>
  </w:style>
  <w:style w:type="character" w:customStyle="1" w:styleId="mininbsp0">
    <w:name w:val="mininbsp"/>
    <w:basedOn w:val="a0"/>
    <w:link w:val="mininbsp"/>
  </w:style>
  <w:style w:type="table" w:styleId="af5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Строгий1"/>
    <w:basedOn w:val="13"/>
    <w:link w:val="a3"/>
    <w:rPr>
      <w:b/>
    </w:rPr>
  </w:style>
  <w:style w:type="character" w:styleId="a3">
    <w:name w:val="Strong"/>
    <w:basedOn w:val="a0"/>
    <w:link w:val="12"/>
    <w:rPr>
      <w:b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styleId="a4">
    <w:name w:val="No Spacing"/>
    <w:link w:val="a5"/>
    <w:pPr>
      <w:spacing w:after="0" w:line="240" w:lineRule="auto"/>
    </w:pPr>
  </w:style>
  <w:style w:type="character" w:customStyle="1" w:styleId="a5">
    <w:name w:val="Без интервала Знак"/>
    <w:link w:val="a4"/>
  </w:style>
  <w:style w:type="paragraph" w:styleId="a6">
    <w:name w:val="Balloon Text"/>
    <w:basedOn w:val="a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a8">
    <w:name w:val="foot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1"/>
    <w:link w:val="a8"/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</w:style>
  <w:style w:type="paragraph" w:customStyle="1" w:styleId="14">
    <w:name w:val="Номер страницы1"/>
    <w:basedOn w:val="13"/>
    <w:link w:val="ac"/>
  </w:style>
  <w:style w:type="character" w:styleId="ac">
    <w:name w:val="page number"/>
    <w:basedOn w:val="a0"/>
    <w:link w:val="14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5">
    <w:name w:val="Гиперссылка1"/>
    <w:basedOn w:val="13"/>
    <w:link w:val="ad"/>
    <w:rPr>
      <w:color w:val="0000FF"/>
      <w:u w:val="single"/>
    </w:rPr>
  </w:style>
  <w:style w:type="character" w:styleId="ad">
    <w:name w:val="Hyperlink"/>
    <w:basedOn w:val="a0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e">
    <w:name w:val="List Paragraph"/>
    <w:basedOn w:val="a"/>
    <w:link w:val="af"/>
    <w:pPr>
      <w:ind w:left="720"/>
      <w:contextualSpacing/>
    </w:pPr>
  </w:style>
  <w:style w:type="character" w:customStyle="1" w:styleId="af">
    <w:name w:val="Абзац списка Знак"/>
    <w:basedOn w:val="1"/>
    <w:link w:val="ae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8">
    <w:name w:val="Выделение1"/>
    <w:basedOn w:val="13"/>
    <w:link w:val="af0"/>
    <w:rPr>
      <w:i/>
    </w:rPr>
  </w:style>
  <w:style w:type="character" w:styleId="af0">
    <w:name w:val="Emphasis"/>
    <w:basedOn w:val="a0"/>
    <w:link w:val="18"/>
    <w:rPr>
      <w:i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sz w:val="24"/>
    </w:rPr>
  </w:style>
  <w:style w:type="paragraph" w:styleId="af3">
    <w:name w:val="Title"/>
    <w:next w:val="a"/>
    <w:link w:val="a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4">
    <w:name w:val="Название Знак"/>
    <w:link w:val="af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mininbsp">
    <w:name w:val="mininbsp"/>
    <w:basedOn w:val="13"/>
    <w:link w:val="mininbsp0"/>
  </w:style>
  <w:style w:type="character" w:customStyle="1" w:styleId="mininbsp0">
    <w:name w:val="mininbsp"/>
    <w:basedOn w:val="a0"/>
    <w:link w:val="mininbsp"/>
  </w:style>
  <w:style w:type="table" w:styleId="af5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8275" TargetMode="External"/><Relationship Id="rId13" Type="http://schemas.openxmlformats.org/officeDocument/2006/relationships/hyperlink" Target="http://www.pechoraonline.ru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521615&amp;dst=606" TargetMode="External"/><Relationship Id="rId12" Type="http://schemas.openxmlformats.org/officeDocument/2006/relationships/hyperlink" Target="file:///Y:\&#1050;&#1091;&#1079;&#1085;&#1077;&#1094;&#1086;&#1074;&#1072;%20&#1070;.&#1051;\8-&#1079;&#1072;&#1089;&#1077;&#1076;&#1072;&#1085;&#1080;&#1077;\&#1055;&#1088;&#1086;&#1077;&#1082;&#1090;&#1099;\&#1050;&#1059;&#1052;&#1057;\&#1054;%20&#1087;&#1088;&#1080;&#1074;&#1072;&#1090;&#1080;&#1079;&#1072;&#1094;&#1080;&#1080;%202\www.torgi.gov.ru" TargetMode="External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516720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74028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74028" TargetMode="External"/><Relationship Id="rId14" Type="http://schemas.openxmlformats.org/officeDocument/2006/relationships/hyperlink" Target="https://login.consultant.ru/link/?req=doc&amp;base=RLAW096&amp;n=25284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1266</Words>
  <Characters>7221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pc</cp:lastModifiedBy>
  <cp:revision>4</cp:revision>
  <cp:lastPrinted>2026-06-11T07:46:00Z</cp:lastPrinted>
  <dcterms:created xsi:type="dcterms:W3CDTF">2026-06-10T12:51:00Z</dcterms:created>
  <dcterms:modified xsi:type="dcterms:W3CDTF">2026-06-11T07:46:00Z</dcterms:modified>
</cp:coreProperties>
</file>